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8789"/>
      </w:tblGrid>
      <w:tr w:rsidR="008E7B7A" w:rsidRPr="008E7B7A">
        <w:trPr>
          <w:trHeight w:val="480"/>
          <w:jc w:val="center"/>
        </w:trPr>
        <w:tc>
          <w:tcPr>
            <w:tcW w:w="8789" w:type="dxa"/>
            <w:vAlign w:val="center"/>
            <w:hideMark/>
          </w:tcPr>
          <w:p w:rsidR="008E7B7A" w:rsidRPr="008E7B7A" w:rsidRDefault="008E7B7A" w:rsidP="008E7B7A">
            <w:pPr>
              <w:spacing w:before="100" w:beforeAutospacing="1" w:after="100" w:afterAutospacing="1" w:line="240" w:lineRule="auto"/>
              <w:jc w:val="center"/>
              <w:rPr>
                <w:rFonts w:ascii="Arial" w:eastAsia="Times New Roman" w:hAnsi="Arial" w:cs="Arial"/>
                <w:b/>
                <w:color w:val="000080"/>
                <w:sz w:val="18"/>
                <w:szCs w:val="18"/>
                <w:lang w:eastAsia="tr-TR"/>
              </w:rPr>
            </w:pPr>
            <w:r w:rsidRPr="008E7B7A">
              <w:rPr>
                <w:rFonts w:ascii="Arial" w:eastAsia="Times New Roman" w:hAnsi="Arial" w:cs="Arial"/>
                <w:b/>
                <w:color w:val="000080"/>
                <w:sz w:val="18"/>
                <w:szCs w:val="18"/>
                <w:lang w:eastAsia="tr-TR"/>
              </w:rPr>
              <w:t>YÖNETMELİK</w:t>
            </w:r>
          </w:p>
        </w:tc>
      </w:tr>
      <w:tr w:rsidR="008E7B7A" w:rsidRPr="008E7B7A">
        <w:trPr>
          <w:trHeight w:val="480"/>
          <w:jc w:val="center"/>
        </w:trPr>
        <w:tc>
          <w:tcPr>
            <w:tcW w:w="8789" w:type="dxa"/>
            <w:vAlign w:val="center"/>
            <w:hideMark/>
          </w:tcPr>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8E7B7A">
              <w:rPr>
                <w:rFonts w:ascii="Times New Roman" w:eastAsia="Times New Roman" w:hAnsi="Times New Roman" w:cs="Times New Roman"/>
                <w:sz w:val="18"/>
                <w:szCs w:val="18"/>
                <w:u w:val="single"/>
                <w:lang w:eastAsia="tr-TR"/>
              </w:rPr>
              <w:t>Hazine ve Maliye Bakanlığından:</w:t>
            </w:r>
          </w:p>
          <w:p w:rsidR="008E7B7A" w:rsidRPr="008E7B7A" w:rsidRDefault="008E7B7A" w:rsidP="008E7B7A">
            <w:pPr>
              <w:tabs>
                <w:tab w:val="left" w:pos="566"/>
              </w:tabs>
              <w:spacing w:before="56" w:after="0" w:line="240" w:lineRule="exact"/>
              <w:jc w:val="center"/>
              <w:rPr>
                <w:rFonts w:ascii="Times New Roman" w:eastAsia="Times New Roman" w:hAnsi="Times New Roman" w:cs="Times New Roman"/>
                <w:b/>
                <w:sz w:val="18"/>
                <w:szCs w:val="18"/>
                <w:lang w:eastAsia="tr-TR"/>
              </w:rPr>
            </w:pPr>
            <w:bookmarkStart w:id="0" w:name="_GoBack"/>
            <w:r w:rsidRPr="008E7B7A">
              <w:rPr>
                <w:rFonts w:ascii="Times New Roman" w:eastAsia="Times New Roman" w:hAnsi="Times New Roman" w:cs="Times New Roman"/>
                <w:b/>
                <w:sz w:val="18"/>
                <w:szCs w:val="18"/>
                <w:lang w:eastAsia="tr-TR"/>
              </w:rPr>
              <w:t>İÇ KONTROL VE ÖN MALÎ KONTROLE İLİŞKİN USUL VE ESASLARDA</w:t>
            </w:r>
          </w:p>
          <w:p w:rsidR="008E7B7A" w:rsidRPr="008E7B7A" w:rsidRDefault="008E7B7A" w:rsidP="008E7B7A">
            <w:pPr>
              <w:tabs>
                <w:tab w:val="left" w:pos="566"/>
              </w:tabs>
              <w:spacing w:after="100" w:line="240" w:lineRule="exact"/>
              <w:jc w:val="center"/>
              <w:rPr>
                <w:rFonts w:ascii="Times New Roman" w:eastAsia="Times New Roman" w:hAnsi="Times New Roman" w:cs="Times New Roman"/>
                <w:b/>
                <w:sz w:val="18"/>
                <w:szCs w:val="18"/>
                <w:lang w:eastAsia="tr-TR"/>
              </w:rPr>
            </w:pPr>
            <w:r w:rsidRPr="008E7B7A">
              <w:rPr>
                <w:rFonts w:ascii="Times New Roman" w:eastAsia="Times New Roman" w:hAnsi="Times New Roman" w:cs="Times New Roman"/>
                <w:b/>
                <w:sz w:val="18"/>
                <w:szCs w:val="18"/>
                <w:lang w:eastAsia="tr-TR"/>
              </w:rPr>
              <w:t>DEĞİŞİKLİK YAPILMASINA DAİR USUL VE ESASLAR</w:t>
            </w:r>
          </w:p>
          <w:bookmarkEnd w:id="0"/>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MADDE 1-</w:t>
            </w:r>
            <w:r w:rsidRPr="008E7B7A">
              <w:rPr>
                <w:rFonts w:ascii="Times New Roman" w:eastAsia="Times New Roman" w:hAnsi="Times New Roman" w:cs="Times New Roman"/>
                <w:sz w:val="18"/>
                <w:szCs w:val="18"/>
                <w:lang w:eastAsia="tr-TR"/>
              </w:rPr>
              <w:t xml:space="preserve"> 31/12/2005 tarihli ve 26040 üçüncü mükerrer sayılı Resmî </w:t>
            </w:r>
            <w:proofErr w:type="spellStart"/>
            <w:r w:rsidRPr="008E7B7A">
              <w:rPr>
                <w:rFonts w:ascii="Times New Roman" w:eastAsia="Times New Roman" w:hAnsi="Times New Roman" w:cs="Times New Roman"/>
                <w:sz w:val="18"/>
                <w:szCs w:val="18"/>
                <w:lang w:eastAsia="tr-TR"/>
              </w:rPr>
              <w:t>Gazete’de</w:t>
            </w:r>
            <w:proofErr w:type="spellEnd"/>
            <w:r w:rsidRPr="008E7B7A">
              <w:rPr>
                <w:rFonts w:ascii="Times New Roman" w:eastAsia="Times New Roman" w:hAnsi="Times New Roman" w:cs="Times New Roman"/>
                <w:sz w:val="18"/>
                <w:szCs w:val="18"/>
                <w:lang w:eastAsia="tr-TR"/>
              </w:rPr>
              <w:t xml:space="preserve"> yayımlanan İç Kontrol ve Ön Malî Kontrole İlişkin Usul ve Esasların 2 </w:t>
            </w:r>
            <w:proofErr w:type="spellStart"/>
            <w:r w:rsidRPr="008E7B7A">
              <w:rPr>
                <w:rFonts w:ascii="Times New Roman" w:eastAsia="Times New Roman" w:hAnsi="Times New Roman" w:cs="Times New Roman"/>
                <w:sz w:val="18"/>
                <w:szCs w:val="18"/>
                <w:lang w:eastAsia="tr-TR"/>
              </w:rPr>
              <w:t>nci</w:t>
            </w:r>
            <w:proofErr w:type="spellEnd"/>
            <w:r w:rsidRPr="008E7B7A">
              <w:rPr>
                <w:rFonts w:ascii="Times New Roman" w:eastAsia="Times New Roman" w:hAnsi="Times New Roman" w:cs="Times New Roman"/>
                <w:sz w:val="18"/>
                <w:szCs w:val="18"/>
                <w:lang w:eastAsia="tr-TR"/>
              </w:rPr>
              <w:t xml:space="preserve"> maddesi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 xml:space="preserve">“Madde 2- Bu Usul ve Esaslar, 10/12/2003 tarihli ve 5018 sayılı Kamu Malî Yönetimi ve Kontrol Kanununun 55 inci, 56 </w:t>
            </w:r>
            <w:proofErr w:type="spellStart"/>
            <w:r w:rsidRPr="008E7B7A">
              <w:rPr>
                <w:rFonts w:ascii="Times New Roman" w:eastAsia="Times New Roman" w:hAnsi="Times New Roman" w:cs="Times New Roman"/>
                <w:sz w:val="18"/>
                <w:szCs w:val="18"/>
                <w:lang w:eastAsia="tr-TR"/>
              </w:rPr>
              <w:t>ncı</w:t>
            </w:r>
            <w:proofErr w:type="spellEnd"/>
            <w:r w:rsidRPr="008E7B7A">
              <w:rPr>
                <w:rFonts w:ascii="Times New Roman" w:eastAsia="Times New Roman" w:hAnsi="Times New Roman" w:cs="Times New Roman"/>
                <w:sz w:val="18"/>
                <w:szCs w:val="18"/>
                <w:lang w:eastAsia="tr-TR"/>
              </w:rPr>
              <w:t xml:space="preserve">, 57 </w:t>
            </w:r>
            <w:proofErr w:type="spellStart"/>
            <w:r w:rsidRPr="008E7B7A">
              <w:rPr>
                <w:rFonts w:ascii="Times New Roman" w:eastAsia="Times New Roman" w:hAnsi="Times New Roman" w:cs="Times New Roman"/>
                <w:sz w:val="18"/>
                <w:szCs w:val="18"/>
                <w:lang w:eastAsia="tr-TR"/>
              </w:rPr>
              <w:t>nci</w:t>
            </w:r>
            <w:proofErr w:type="spellEnd"/>
            <w:r w:rsidRPr="008E7B7A">
              <w:rPr>
                <w:rFonts w:ascii="Times New Roman" w:eastAsia="Times New Roman" w:hAnsi="Times New Roman" w:cs="Times New Roman"/>
                <w:sz w:val="18"/>
                <w:szCs w:val="18"/>
                <w:lang w:eastAsia="tr-TR"/>
              </w:rPr>
              <w:t xml:space="preserve"> ve 58 inci maddeleri ile 1 sayılı Cumhurbaşkanlığı Teşkilatı Hakkında Cumhurbaşkanlığı Kararnamesinin 220/A maddesine dayanılarak hazırlanmıştır.”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2- </w:t>
            </w:r>
            <w:r w:rsidRPr="008E7B7A">
              <w:rPr>
                <w:rFonts w:ascii="Times New Roman" w:eastAsia="Times New Roman" w:hAnsi="Times New Roman" w:cs="Times New Roman"/>
                <w:sz w:val="18"/>
                <w:szCs w:val="18"/>
                <w:lang w:eastAsia="tr-TR"/>
              </w:rPr>
              <w:t>Aynı Usul ve Esasların 3 üncü maddesi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“Madde 3- Bu Usul ve Esaslarda geçen;</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a) Bakanlık: Hazine ve Maliye Bakanlığını,</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b) Gerçekleştirme görevlisi: Harcama talimatı üzerine; işin yaptırılması, mal veya hizmetin alınması, teslim almaya ilişkin işlemlerin yapılması, belgelendirilmesi ve ödeme için gerekli belgelerin hazırlanmasına yönelik iş ve işlem süreçlerinde görev yapan kişileri,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c) Görüş yazısı: Ön malî kontrol sonucunda malî karar ve işlemlerin uygun bulunup bulunmadığı yönünde verilen yazılı görüşü veya dayanak belge üzerine yazılan şerhi,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d) Harcama birimi: Kamu idaresi bütçesinde ödenek tahsis edilen ve harcama yetkisi bulunan birim ile ödenek gönderme belgesi ile ödenek gönderilen birimleri,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e) Harcama yetkilisi: Bütçeyle ödenek tahsis edilen veya ödenek gönderme belgesi ile ödenek gönderilen her bir harcama biriminin en üst yöneticisini,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f)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malî ve diğer kontroller bütününü,</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g) İdare: Düzenleyici ve denetleyici kurumlar hariç olmak üzere, genel yönetim kapsamındaki her bir kamu idaresini,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h) Kanun: 10/12/2003 tarihli ve 5018 sayılı Kamu Malî Yönetimi ve Kontrol Kanununu,</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i) Malî hizmetler birimi: Strateji geliştirme başkanlıkları ve strateji geliştirme daire başkanlıkları ile strateji geliştirme ve malî hizmetlere ilişkin hizmetlerin yerine getirildiği müdürlükleri, bu birimlerin kurulmadığı idarelerde bu idarelerin mevcut yapılarında malî hizmetlerini yürüten birimi, mahalli idarelerde ise ilgili mevzuatında yer alan hükümler çerçevesinde kurulan birimleri,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j) Ön malî kontrol: İdarelerin gelir, gider, varlık ve yükümlülüklerine ilişkin malî karar ve işlemlerinin; idarenin bütçesi, bütçe tertibi, kullanılabilir ödenek tutarı, harcama programı, finansman programı, merkezi yönetim bütçe kanunu ve diğer malî mevzuat hükümlerine uygunluğu ve kaynakların etkili, ekonomik ve verimli bir şekilde kullanılması yönlerinden yapılan kontrolünü,</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k) Usul ve Esaslar: Bu Usul ve Esasları,</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l) Üst yönetici: Kanunun 11 inci maddesine göre tanımlanan üst yöneticiyi,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ifade</w:t>
            </w:r>
            <w:proofErr w:type="gramEnd"/>
            <w:r w:rsidRPr="008E7B7A">
              <w:rPr>
                <w:rFonts w:ascii="Times New Roman" w:eastAsia="Times New Roman" w:hAnsi="Times New Roman" w:cs="Times New Roman"/>
                <w:sz w:val="18"/>
                <w:szCs w:val="18"/>
                <w:lang w:eastAsia="tr-TR"/>
              </w:rPr>
              <w:t xml:space="preserve"> eder.”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3- </w:t>
            </w:r>
            <w:r w:rsidRPr="008E7B7A">
              <w:rPr>
                <w:rFonts w:ascii="Times New Roman" w:eastAsia="Times New Roman" w:hAnsi="Times New Roman" w:cs="Times New Roman"/>
                <w:sz w:val="18"/>
                <w:szCs w:val="18"/>
                <w:lang w:eastAsia="tr-TR"/>
              </w:rPr>
              <w:t>Aynı Usul ve Esasların 4 üncü maddesinin başlığı “İç kontrolün amaçları ve işleyişi” şeklinde değiştirilmiş ve aynı maddeye aşağıdaki fıkra eklenmiştir.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“Kamu idareleri, Bakanlık tarafından belirlenen standart, düzenleme ve yöntemlere uygun olarak;</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a) Faaliyetlerin görev, yetki ve sorumlulukların belirlendiği uygun bir kurumsal yapı içerisinde, etik değerleri benimsemiş, yeterli ve yetkin personel tarafından yürütülmesini,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b) Amaç ve hedefler ile bunların gerçekleşmesini ve faaliyetleri etkileyebilecek risklerin belirlenmesini, değerlendirilmesini ve bu riskler için uygun kontrol yöntemlerinin geliştirilmesini ve uygulanmasını,</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c) Etkin bir bilgi ve iletişim sisteminin kurulmasını ve işletilmesini,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d) Bu faaliyetlerin sürekli ve sistemli bir şekilde izlenmesini ve geliştirilmesini,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sağlamak</w:t>
            </w:r>
            <w:proofErr w:type="gramEnd"/>
            <w:r w:rsidRPr="008E7B7A">
              <w:rPr>
                <w:rFonts w:ascii="Times New Roman" w:eastAsia="Times New Roman" w:hAnsi="Times New Roman" w:cs="Times New Roman"/>
                <w:sz w:val="18"/>
                <w:szCs w:val="18"/>
                <w:lang w:eastAsia="tr-TR"/>
              </w:rPr>
              <w:t xml:space="preserve"> suretiyle iç kontrol sistemlerini oluşturur, uygular, izler ve geliştirir.”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4- </w:t>
            </w:r>
            <w:r w:rsidRPr="008E7B7A">
              <w:rPr>
                <w:rFonts w:ascii="Times New Roman" w:eastAsia="Times New Roman" w:hAnsi="Times New Roman" w:cs="Times New Roman"/>
                <w:sz w:val="18"/>
                <w:szCs w:val="18"/>
                <w:lang w:eastAsia="tr-TR"/>
              </w:rPr>
              <w:t>Aynı Usul ve Esasların 8 inci maddesi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“Madde 8- Üst yöneticiler, idarede iç kontrol sisteminin oluşturulmasını sağlar, işleyişi izler ve gerekli tedbirleri alır.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Harcama yetkilileri görev ve yetki alanları çerçevesinde idari ve malî karar ve işlemlere ilişkin olarak iç kontrolün işleyişinden sorumludur. Harcama yetkilileri birimlerinde iç kontrol sistemini oluşturur, uygular, izler ve geliştirir.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lastRenderedPageBreak/>
              <w:t>Diğer yöneticiler ve personel, görev ve yetkileri çerçevesinde, iç kontrol sisteminin uygulanmasından sorumludur.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İdarelerin malî hizmetler birimi; harcama birimlerinde iç kontrol sisteminin oluşturulması ve standartlarının uygulanması ile geliştirilmesi çalışmalarını yönlendirir, koordine eder, uygulama sonuçlarını izler, değerlendirir, üst yöneticiye raporlar, eğitim ve rehberlik hizmeti verir ve ön malî kontrol faaliyetini yürütür. Muhasebe yetkilileri, muhasebe kayıtlarının usulüne ve standartlara uygun, saydam ve erişilebilir şekilde tutulmasından sorumludur.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Üst yöneticiler, harcama yetkilileri ve diğer yöneticiler, mesleki değerlere ve dürüst yönetim anlayışına sahip olunmasından, malî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Üst yöneticiler ve bütçe ile ödenek tahsis edilen harcama yetkilileri, her yıl, iş ve işlemlerinin amaçlara, iyi malî yönetim ilkelerine, kontrol düzenlemelerine ve mevzuata uygun bir şekilde gerçekleştirildiğini içeren iç kontrol güvence beyanını düzenler ve birim faaliyet raporları ile idare faaliyet raporlarına eklerler.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İç kontrol düzenlemeleri ve iç kontrol sisteminin işleyişi, yöneticilerin görüşü, kişi ve/veya idarelerin talep ve şikâyetleri, harcama birimi değerlendirmeleri ile iç ve dış denetim sonucunda düzenlenen raporlar dikkate alınarak yılda en az bir kez değerlendirmeye tâbi tutulur ve gerekli önlemler alınır.”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5- </w:t>
            </w:r>
            <w:r w:rsidRPr="008E7B7A">
              <w:rPr>
                <w:rFonts w:ascii="Times New Roman" w:eastAsia="Times New Roman" w:hAnsi="Times New Roman" w:cs="Times New Roman"/>
                <w:sz w:val="18"/>
                <w:szCs w:val="18"/>
                <w:lang w:eastAsia="tr-TR"/>
              </w:rPr>
              <w:t>Aynı Usul ve Esasların 9 uncu maddesi başlığıyla birlikte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“İç kontrol merkezi uyumlaştırma görevi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Madde 9- İç kontrole ilişkin standart ve yöntemler Bakanlık tarafından belirlenir, geliştirilir ve uyumlaştırılır. Bu çerçevede Bakanlık;</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a) İç kontrol standartlarını belirler ve bu standartlara uyulup uyulmadığını izler,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b) Ön malî kontrole ilişkin standart ve yöntemler ile ön malî kontrole tâbi malî karar ve işlemleri ve bunların kontrol usul ve esaslarını belirler,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c) Harcama yetkililerine ilişkin mevzuat düzenlemelerini hazırlar, harcama yetkilisinin belirlenmesine ilişkin konularda tereddütleri giderir,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d) İç kontrol alanında idareler arasında koordinasyonu sağlar ve idarelere rehberlik hizmeti verir,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e) İç kontrol ve ön malî kontrole ilişkin genel ve özel nitelikli düzenlemelerde idarelerle işbirliği yapar, çalışma toplantıları düzenler,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 xml:space="preserve">f) İç kontrol ve ön malî kontrol düzenleme ve uygulamaları hakkında idarelerden rapor ve bilgi alarak sistemlerin işleyişini izler, belirlenen yöntem ve standartlara uygunluğu açısından değerlendirir, kurumsal ve </w:t>
            </w:r>
            <w:proofErr w:type="gramStart"/>
            <w:r w:rsidRPr="008E7B7A">
              <w:rPr>
                <w:rFonts w:ascii="Times New Roman" w:eastAsia="Times New Roman" w:hAnsi="Times New Roman" w:cs="Times New Roman"/>
                <w:sz w:val="18"/>
                <w:szCs w:val="18"/>
                <w:lang w:eastAsia="tr-TR"/>
              </w:rPr>
              <w:t>konsolide</w:t>
            </w:r>
            <w:proofErr w:type="gramEnd"/>
            <w:r w:rsidRPr="008E7B7A">
              <w:rPr>
                <w:rFonts w:ascii="Times New Roman" w:eastAsia="Times New Roman" w:hAnsi="Times New Roman" w:cs="Times New Roman"/>
                <w:sz w:val="18"/>
                <w:szCs w:val="18"/>
                <w:lang w:eastAsia="tr-TR"/>
              </w:rPr>
              <w:t xml:space="preserve"> raporlar düzenler,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g) İdarelerin malî hizmetler birimlerinin çalışma usul ve esaslarını belirler,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 xml:space="preserve">h) Kamu idarelerinin malî hizmetler birim yöneticilerine, diğer yönetici ve malî hizmetler uzmanlarına yönelik düzenli yıllık bilgilendirme ve değerlendirme toplantıları ile seminer, </w:t>
            </w:r>
            <w:proofErr w:type="gramStart"/>
            <w:r w:rsidRPr="008E7B7A">
              <w:rPr>
                <w:rFonts w:ascii="Times New Roman" w:eastAsia="Times New Roman" w:hAnsi="Times New Roman" w:cs="Times New Roman"/>
                <w:sz w:val="18"/>
                <w:szCs w:val="18"/>
                <w:lang w:eastAsia="tr-TR"/>
              </w:rPr>
              <w:t>sempozyum</w:t>
            </w:r>
            <w:proofErr w:type="gramEnd"/>
            <w:r w:rsidRPr="008E7B7A">
              <w:rPr>
                <w:rFonts w:ascii="Times New Roman" w:eastAsia="Times New Roman" w:hAnsi="Times New Roman" w:cs="Times New Roman"/>
                <w:sz w:val="18"/>
                <w:szCs w:val="18"/>
                <w:lang w:eastAsia="tr-TR"/>
              </w:rPr>
              <w:t>, panel ve benzeri etkinlik ve faaliyetleri düzenler,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i) İç kontrol ile mali yönetim ve kontrol sistemine ilişkin olarak eğitim programları hazırlar,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j) Ulusal ve uluslararası iyi uygulama örneklerini araştırır, bunların uygulanması yönünde çalışmalar yapar.”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b/>
                <w:sz w:val="18"/>
                <w:szCs w:val="18"/>
                <w:lang w:eastAsia="tr-TR"/>
              </w:rPr>
              <w:t>MADDE 6-</w:t>
            </w:r>
            <w:r w:rsidRPr="008E7B7A">
              <w:rPr>
                <w:rFonts w:ascii="Times New Roman" w:eastAsia="Times New Roman" w:hAnsi="Times New Roman" w:cs="Times New Roman"/>
                <w:sz w:val="18"/>
                <w:szCs w:val="18"/>
                <w:lang w:eastAsia="tr-TR"/>
              </w:rPr>
              <w:t xml:space="preserve"> Aynı Usul ve Esasların 12 </w:t>
            </w:r>
            <w:proofErr w:type="spellStart"/>
            <w:r w:rsidRPr="008E7B7A">
              <w:rPr>
                <w:rFonts w:ascii="Times New Roman" w:eastAsia="Times New Roman" w:hAnsi="Times New Roman" w:cs="Times New Roman"/>
                <w:sz w:val="18"/>
                <w:szCs w:val="18"/>
                <w:lang w:eastAsia="tr-TR"/>
              </w:rPr>
              <w:t>nci</w:t>
            </w:r>
            <w:proofErr w:type="spellEnd"/>
            <w:r w:rsidRPr="008E7B7A">
              <w:rPr>
                <w:rFonts w:ascii="Times New Roman" w:eastAsia="Times New Roman" w:hAnsi="Times New Roman" w:cs="Times New Roman"/>
                <w:sz w:val="18"/>
                <w:szCs w:val="18"/>
                <w:lang w:eastAsia="tr-TR"/>
              </w:rPr>
              <w:t xml:space="preserve"> maddesinin dördüncü fıkrasında yer alan “İçişleri Bakanlığı Teşkilat ve Görevleri Hakkında Kanunun” ibaresi “İçişleri Bakanlığı Yüksek Disiplin Kurulu ile İl Yatırım ve Hizmetlerine İlişkin Bazı Düzenlemeler Hakkında Kanunun” şeklinde, “harcama yetkilisi tarafından,” ibaresi “harcama yetkilisinin teklifi üzerine Valilik tarafından,” şeklinde ve “ildeki il müdürü ve” ibaresi “ildeki il müdürü, il müdür yardımcısı veya” şeklinde değiştirilmiştir.</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7- </w:t>
            </w:r>
            <w:r w:rsidRPr="008E7B7A">
              <w:rPr>
                <w:rFonts w:ascii="Times New Roman" w:eastAsia="Times New Roman" w:hAnsi="Times New Roman" w:cs="Times New Roman"/>
                <w:sz w:val="18"/>
                <w:szCs w:val="18"/>
                <w:lang w:eastAsia="tr-TR"/>
              </w:rPr>
              <w:t xml:space="preserve">Aynı Usul ve Esasların 16 </w:t>
            </w:r>
            <w:proofErr w:type="spellStart"/>
            <w:r w:rsidRPr="008E7B7A">
              <w:rPr>
                <w:rFonts w:ascii="Times New Roman" w:eastAsia="Times New Roman" w:hAnsi="Times New Roman" w:cs="Times New Roman"/>
                <w:sz w:val="18"/>
                <w:szCs w:val="18"/>
                <w:lang w:eastAsia="tr-TR"/>
              </w:rPr>
              <w:t>ncı</w:t>
            </w:r>
            <w:proofErr w:type="spellEnd"/>
            <w:r w:rsidRPr="008E7B7A">
              <w:rPr>
                <w:rFonts w:ascii="Times New Roman" w:eastAsia="Times New Roman" w:hAnsi="Times New Roman" w:cs="Times New Roman"/>
                <w:sz w:val="18"/>
                <w:szCs w:val="18"/>
                <w:lang w:eastAsia="tr-TR"/>
              </w:rPr>
              <w:t xml:space="preserve"> maddesi başlığıyla birlikte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“Mevzuat taslaklarının bütçeye etkisinin hesaplanması</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Madde 16- Gelir azaltıcı veya gider artırıcı ve idareye yükümlülük getirecek mevzuat taslakları için ilgili mevzuatı gereğince görüş alınması sürecinde 23/2/2022 tarihli ve 5210 sayılı Cumhurbaşkanı Kararıyla yürürlüğe konulan Mevzuat Hazırlama Usul ve Esasları Hakkında Yönetmelik kapsamında hazırlanması zorunlu olan bütçe etki formu kontrole tabi tutularak; orta vadeli program çerçevesinde, idarenin stratejik planı, performans programı ve bütçesi üzerindeki etkileri açısından değerlendirilir.”</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b/>
                <w:sz w:val="18"/>
                <w:szCs w:val="18"/>
                <w:lang w:eastAsia="tr-TR"/>
              </w:rPr>
              <w:t>MADDE 8-</w:t>
            </w:r>
            <w:r w:rsidRPr="008E7B7A">
              <w:rPr>
                <w:rFonts w:ascii="Times New Roman" w:eastAsia="Times New Roman" w:hAnsi="Times New Roman" w:cs="Times New Roman"/>
                <w:sz w:val="18"/>
                <w:szCs w:val="18"/>
                <w:lang w:eastAsia="tr-TR"/>
              </w:rPr>
              <w:t xml:space="preserve"> Aynı Usul ve Esasların 17 </w:t>
            </w:r>
            <w:proofErr w:type="spellStart"/>
            <w:r w:rsidRPr="008E7B7A">
              <w:rPr>
                <w:rFonts w:ascii="Times New Roman" w:eastAsia="Times New Roman" w:hAnsi="Times New Roman" w:cs="Times New Roman"/>
                <w:sz w:val="18"/>
                <w:szCs w:val="18"/>
                <w:lang w:eastAsia="tr-TR"/>
              </w:rPr>
              <w:t>nci</w:t>
            </w:r>
            <w:proofErr w:type="spellEnd"/>
            <w:r w:rsidRPr="008E7B7A">
              <w:rPr>
                <w:rFonts w:ascii="Times New Roman" w:eastAsia="Times New Roman" w:hAnsi="Times New Roman" w:cs="Times New Roman"/>
                <w:sz w:val="18"/>
                <w:szCs w:val="18"/>
                <w:lang w:eastAsia="tr-TR"/>
              </w:rPr>
              <w:t xml:space="preserve"> maddesinin birinci fıkrasında yer alan “bir milyon” ibaresi “beş milyon” şeklinde, “üç milyon” ibaresi “on beş milyon” şeklinde, “Çevre ve Şehircilik Bakanlığı,” ibaresi “Çevre, Şehircilik ve İklim Değişikliği Bakanlığı, Ulaştırma ve Altyapı Bakanlığı,” şeklinde, “İçişleri Bakanlığı Teşkilat ve Görevleri Hakkında Kanunun” ibaresi “İçişleri Bakanlığı Yüksek Disiplin Kurulu ile İl Yatırım ve Hizmetlerine İlişkin Bazı Düzenlemeler Hakkında Kanunun” şeklinde değiştirilmiş, aynı fıkraya aşağıdaki cümle eklenmiş, aynı maddenin ikinci fıkrasında yer alan “Bakanlar Kurulunca” ibaresi “Cumhurbaşkanınca” şeklinde, “Bakanlar Kurulu” ibaresi “Cumhurbaşkanı” şeklinde değiştirilmiş ve aynı fıkrada yer alan “Türk Silahlı Kuvvetleri” ibaresinden sonra gelmek üzere “, Jandarma Genel Komutanlığı ve Sahil Güvenlik Komutanlığı” ibaresi eklenmiştir.</w:t>
            </w:r>
            <w:proofErr w:type="gramEnd"/>
          </w:p>
          <w:p w:rsidR="008E7B7A" w:rsidRPr="008E7B7A" w:rsidRDefault="008E7B7A" w:rsidP="008E7B7A">
            <w:pPr>
              <w:tabs>
                <w:tab w:val="left" w:pos="566"/>
              </w:tabs>
              <w:spacing w:after="0" w:line="240" w:lineRule="exact"/>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“Bu fıkrada yer alan tutarları üç katına kadar artırmaya Hazine ve Maliye Bakanlığı yetkilidir.”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lastRenderedPageBreak/>
              <w:t xml:space="preserve">MADDE 9- </w:t>
            </w:r>
            <w:r w:rsidRPr="008E7B7A">
              <w:rPr>
                <w:rFonts w:ascii="Times New Roman" w:eastAsia="Times New Roman" w:hAnsi="Times New Roman" w:cs="Times New Roman"/>
                <w:sz w:val="18"/>
                <w:szCs w:val="18"/>
                <w:lang w:eastAsia="tr-TR"/>
              </w:rPr>
              <w:t>Aynı Usul ve Esasların 18 inci maddesine aşağıdaki fıkra eklenmiştir.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“Ödenek gönderme belgelerinin idarenin malî hizmetler biriminin iç kontrol alt birimi dışında diğer alt birimleri tarafından elektronik ortamda onaylanması halinde ön malî kontrol yapılmış ve uygun görüş verilmiş sayılır.”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10- </w:t>
            </w:r>
            <w:r w:rsidRPr="008E7B7A">
              <w:rPr>
                <w:rFonts w:ascii="Times New Roman" w:eastAsia="Times New Roman" w:hAnsi="Times New Roman" w:cs="Times New Roman"/>
                <w:sz w:val="18"/>
                <w:szCs w:val="18"/>
                <w:lang w:eastAsia="tr-TR"/>
              </w:rPr>
              <w:t>Aynı Usul ve Esasların 19 uncu maddesine birinci fıkradan sonra gelmek üzere aşağıdaki fıkra eklenmiştir.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“Ödenek aktarmalarının idarenin malî hizmetler biriminin iç kontrol alt birimi dışında diğer alt birimleri tarafından elektronik ortamda hazırlanıp onaylanması halinde ön malî kontrol yapılmış ve uygun görüş verilmiş sayılır.”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11- </w:t>
            </w:r>
            <w:r w:rsidRPr="008E7B7A">
              <w:rPr>
                <w:rFonts w:ascii="Times New Roman" w:eastAsia="Times New Roman" w:hAnsi="Times New Roman" w:cs="Times New Roman"/>
                <w:sz w:val="18"/>
                <w:szCs w:val="18"/>
                <w:lang w:eastAsia="tr-TR"/>
              </w:rPr>
              <w:t xml:space="preserve">Aynı Usul ve Esasların 20 </w:t>
            </w:r>
            <w:proofErr w:type="spellStart"/>
            <w:r w:rsidRPr="008E7B7A">
              <w:rPr>
                <w:rFonts w:ascii="Times New Roman" w:eastAsia="Times New Roman" w:hAnsi="Times New Roman" w:cs="Times New Roman"/>
                <w:sz w:val="18"/>
                <w:szCs w:val="18"/>
                <w:lang w:eastAsia="tr-TR"/>
              </w:rPr>
              <w:t>nci</w:t>
            </w:r>
            <w:proofErr w:type="spellEnd"/>
            <w:r w:rsidRPr="008E7B7A">
              <w:rPr>
                <w:rFonts w:ascii="Times New Roman" w:eastAsia="Times New Roman" w:hAnsi="Times New Roman" w:cs="Times New Roman"/>
                <w:sz w:val="18"/>
                <w:szCs w:val="18"/>
                <w:lang w:eastAsia="tr-TR"/>
              </w:rPr>
              <w:t xml:space="preserve"> maddesi başlığıyla birlikte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“Kadro ve pozisyon dağılım cetvelleri</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Madde 20- 2 sayılı Genel Kadro ve Usulü Hakkında Cumhurbaşkanlığı Kararnamesine tâbi idarelere ait kadro ve pozisyon dağılım cetvelleri, anılan Cumhurbaşkanlığı Kararnamesi hükümleri çerçevesinde kontrole tâbidir.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Kadro ve pozisyon dağılım cetvelleri en geç beş işgünü içinde kontrol edilir. İlgililerine yapılacak ödemeler bu onaylı kadro ve pozisyon dağılım cetvellerine göre yapılır. Bu cetvellerde yapılacak değişiklikler de aynı şekilde kontrol edilir.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2 sayılı Cumhurbaşkanlığı Kararnamesine tâbi olmayan idarelerde de kadro ve pozisyon ihdas ve değişiklikleri aynı süre içinde kontrol edilir.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Türk Silahlı Kuvvetleri, Jandarma Genel Komutanlığı, Sahil Güvenlik Komutanlığı ile Jandarma ve Sahil Güvenlik Akademisinin 2 sayılı Cumhurbaşkanlığı Kararnamesine ekli (I), (IV) ve (V) sayılı cetvellerde düzenlenenler haricindeki personeli ile Jandarma Hizmetleri Sınıfı ve Sahil Güvenlik Hizmetleri sınıfında yer alan personelinin kadro ve pozisyonları ile millî güvenlik sebebiyle gizli kalması gereken kadro ve pozisyonlar hakkında bu madde hükümleri uygulanmaz.”</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MADDE 12-</w:t>
            </w:r>
            <w:r w:rsidRPr="008E7B7A">
              <w:rPr>
                <w:rFonts w:ascii="Times New Roman" w:eastAsia="Times New Roman" w:hAnsi="Times New Roman" w:cs="Times New Roman"/>
                <w:sz w:val="18"/>
                <w:szCs w:val="18"/>
                <w:lang w:eastAsia="tr-TR"/>
              </w:rPr>
              <w:t xml:space="preserve"> Aynı Usul ve Esasların 21 inci maddesinin birinci fıkrasında yer alan “İçişleri, Maliye ve Ulaştırma Bakanlıkları” ibaresi “İçişleri, Hazine ve Maliye ve Ulaştırma ve Altyapı Bakanlıkları” şeklinde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13- </w:t>
            </w:r>
            <w:r w:rsidRPr="008E7B7A">
              <w:rPr>
                <w:rFonts w:ascii="Times New Roman" w:eastAsia="Times New Roman" w:hAnsi="Times New Roman" w:cs="Times New Roman"/>
                <w:sz w:val="18"/>
                <w:szCs w:val="18"/>
                <w:lang w:eastAsia="tr-TR"/>
              </w:rPr>
              <w:t>Aynı Usul ve Esasların 23 üncü maddesinin birinci fıkrası aşağıdaki şekilde değiştirilmiş ve aynı maddenin ikinci fıkrası yürürlükten kaldırılmıştır.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sz w:val="18"/>
                <w:szCs w:val="18"/>
                <w:lang w:eastAsia="tr-TR"/>
              </w:rPr>
              <w:t>“4/4/2007 tarihli ve 5620 sayılı Kamuda Geçici İş Pozisyonlarında Çalışanların Sürekli İşçi Kadrolarına veya Sözleşmeli Personel Statüsüne Geçirilmeleri, Geçici İşçi Çalıştırılması ile Bazı Kanunlarda Değişiklik Yapılması Hakkında Kanun kapsamındaki idarelerde çalıştırılacak geçici işçi pozisyon (adam/ay) sayılarının aylar ve birimler itibarıyla dağılımı ilgili mevzuatında belirlenen idarelerce vizesini müteakip kontrole tâbidir.”</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E7B7A">
              <w:rPr>
                <w:rFonts w:ascii="Times New Roman" w:eastAsia="Times New Roman" w:hAnsi="Times New Roman" w:cs="Times New Roman"/>
                <w:b/>
                <w:sz w:val="18"/>
                <w:szCs w:val="18"/>
                <w:lang w:eastAsia="tr-TR"/>
              </w:rPr>
              <w:t xml:space="preserve">MADDE 14- </w:t>
            </w:r>
            <w:r w:rsidRPr="008E7B7A">
              <w:rPr>
                <w:rFonts w:ascii="Times New Roman" w:eastAsia="Times New Roman" w:hAnsi="Times New Roman" w:cs="Times New Roman"/>
                <w:sz w:val="18"/>
                <w:szCs w:val="18"/>
                <w:lang w:eastAsia="tr-TR"/>
              </w:rPr>
              <w:t>Aynı Usul ve Esasların 24 üncü maddesinin birinci fıkrasında yer alan “Bakanlar Kurulu” ibareleri “Cumhurbaşkanı” şeklinde değiştirilmiş ve aynı fıkraya “dağılımını gösteren listeler” ibaresinden sonra gelmek üzere “kontrol edilmek üzere malî hizmetler birimlerine ilgili mevzuatında belirlenen kontrol süresinin bitiminden en az 10 gün önce gönderilir ve” ibaresi eklenmiştir.</w:t>
            </w:r>
            <w:proofErr w:type="gramEnd"/>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15- </w:t>
            </w:r>
            <w:r w:rsidRPr="008E7B7A">
              <w:rPr>
                <w:rFonts w:ascii="Times New Roman" w:eastAsia="Times New Roman" w:hAnsi="Times New Roman" w:cs="Times New Roman"/>
                <w:sz w:val="18"/>
                <w:szCs w:val="18"/>
                <w:lang w:eastAsia="tr-TR"/>
              </w:rPr>
              <w:t>Aynı Usul ve Esasların 25 inci maddesi aşağıdaki şekilde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sz w:val="18"/>
                <w:szCs w:val="18"/>
                <w:lang w:eastAsia="tr-TR"/>
              </w:rPr>
              <w:t>“Madde 25- İlgili mevzuatı uyarınca her bir idare bazında ihdas edilen ve alım izni verilen pozisyon cetvellerine ve vize edilen tip sözleşmeye uygun olarak çalıştırılacak personelle yapılacak sözleşmeler kontrole tabidir. Bu sözleşmeler ilgili mevzuatı uyarınca ihdas edilen ve alım izni verilen pozisyon cetvellerine ve vize edilen tip sözleşmeye, ilgili kanunlarına, diğer mevzuatına ve bütçelerinde öngörülen düzenlemelere uygunluk yönünden incelenir ve en geç beş işgünü içinde sonuçlandırılır. Uygun görülmeyen sözleşmeler gerekçeli bir yazıyla ilgili birime gönderilir.”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16- </w:t>
            </w:r>
            <w:r w:rsidRPr="008E7B7A">
              <w:rPr>
                <w:rFonts w:ascii="Times New Roman" w:eastAsia="Times New Roman" w:hAnsi="Times New Roman" w:cs="Times New Roman"/>
                <w:sz w:val="18"/>
                <w:szCs w:val="18"/>
                <w:lang w:eastAsia="tr-TR"/>
              </w:rPr>
              <w:t>Aynı Usul ve Esasların 33 üncü maddesinde yer alan “Maliye Bakanı” ibaresi “Hazine ve Maliye Bakanı” şeklinde değiştirilmiştir.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17- </w:t>
            </w:r>
            <w:r w:rsidRPr="008E7B7A">
              <w:rPr>
                <w:rFonts w:ascii="Times New Roman" w:eastAsia="Times New Roman" w:hAnsi="Times New Roman" w:cs="Times New Roman"/>
                <w:sz w:val="18"/>
                <w:szCs w:val="18"/>
                <w:lang w:eastAsia="tr-TR"/>
              </w:rPr>
              <w:t>Bu Usul ve Esaslar yayımı tarihinde yürürlüğe girer.</w:t>
            </w:r>
          </w:p>
          <w:p w:rsidR="008E7B7A" w:rsidRPr="008E7B7A" w:rsidRDefault="008E7B7A" w:rsidP="008E7B7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E7B7A">
              <w:rPr>
                <w:rFonts w:ascii="Times New Roman" w:eastAsia="Times New Roman" w:hAnsi="Times New Roman" w:cs="Times New Roman"/>
                <w:b/>
                <w:sz w:val="18"/>
                <w:szCs w:val="18"/>
                <w:lang w:eastAsia="tr-TR"/>
              </w:rPr>
              <w:t xml:space="preserve">MADDE 18- </w:t>
            </w:r>
            <w:r w:rsidRPr="008E7B7A">
              <w:rPr>
                <w:rFonts w:ascii="Times New Roman" w:eastAsia="Times New Roman" w:hAnsi="Times New Roman" w:cs="Times New Roman"/>
                <w:sz w:val="18"/>
                <w:szCs w:val="18"/>
                <w:lang w:eastAsia="tr-TR"/>
              </w:rPr>
              <w:t>Bu Usul ve Esasları Hazine ve Maliye Bakanı yürütür.</w:t>
            </w:r>
          </w:p>
        </w:tc>
      </w:tr>
    </w:tbl>
    <w:p w:rsidR="006225A1" w:rsidRDefault="006225A1"/>
    <w:sectPr w:rsidR="00622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7A"/>
    <w:rsid w:val="006225A1"/>
    <w:rsid w:val="008E7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7EBF7-461F-4F90-A4FC-779E9ED3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8E7B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E7B7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8E7B7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E7B7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2067</Words>
  <Characters>11783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GÜL</dc:creator>
  <cp:keywords/>
  <dc:description/>
  <cp:lastModifiedBy>Zeynep GÜL</cp:lastModifiedBy>
  <cp:revision>1</cp:revision>
  <dcterms:created xsi:type="dcterms:W3CDTF">2023-08-09T07:29:00Z</dcterms:created>
  <dcterms:modified xsi:type="dcterms:W3CDTF">2023-08-09T07:32:00Z</dcterms:modified>
</cp:coreProperties>
</file>